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Онкология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04:26 МСК · База обновлена: 20.07.2026, 13:01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Онкология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68 лет госпитализирована в отделение торакальной хирургии для обследования.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постоянные выраженные боли в правой половине грудной клетки, сухой кашель и одышку при быстрой ходьбе.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Заболела 4 месяца назад, когда появились упомянутые жалобы. Обратилась в поликлинику к участковому терапевту. Была выполнена рентгенография легких, на которой обнаружено затенение в правой плевральной полости. Симптоматическое лечение успеха не имело. Была осмотрена фтизиатром, данных за специфическую патологию не обнаружено и пациентка направлен на консультацию к торакальному хирургу. Госпитализирована в отделение торакальной хирургии для обследования.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страдает эндометриозом, лечится у гинеколога;</w:t>
      </w:r>
    </w:p>
    <w:p>
      <w:pPr>
        <w:spacing w:after="58"/>
      </w:pPr>
      <w:r>
        <w:rPr>
          <w:b w:val="0"/>
          <w:i w:val="0"/>
        </w:rPr>
        <w:t>* не курит;</w:t>
      </w:r>
    </w:p>
    <w:p>
      <w:pPr>
        <w:spacing w:after="58"/>
      </w:pPr>
      <w:r>
        <w:rPr>
          <w:b w:val="0"/>
          <w:i w:val="0"/>
        </w:rPr>
        <w:t>* в течение 15 лет работала на предприятии по  изготовлению шифера;</w:t>
      </w:r>
    </w:p>
    <w:p>
      <w:pPr>
        <w:spacing w:after="58"/>
      </w:pPr>
      <w:r>
        <w:rPr>
          <w:b w:val="0"/>
          <w:i w:val="0"/>
        </w:rPr>
        <w:t>* аллергическая реакция на пенициллин в виде крапивницы;</w:t>
      </w:r>
    </w:p>
    <w:p>
      <w:pPr>
        <w:spacing w:after="58"/>
      </w:pPr>
      <w:r>
        <w:rPr>
          <w:b w:val="0"/>
          <w:i w:val="0"/>
        </w:rPr>
        <w:t>* наследственность не отягощена.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Рост 164 см, масса тела 78 кг. Кожный покров обычной окраски и влажности. Периферические лимф. узлы не увеличены. При перкуссии справа под углом лопатки звук отчетливо укорочен. При аускультации – в нижних отделах правого легкого дыхание не проводится; хрипы сухие непостоянные слева. ЧДД 26 в 1 мин. Тоны сердца ритмичные, ЧСС 86 в 1 мин, АД 150/70 мм рт. ст. Живот мягкий, безболезненный. Печень и селезенка не увеличены.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После удаления 600 мл экссудата (геморрагического) для уточнения диагноза показано выполнение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перфузионной сцинтиграфии легких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позитронно-эмиссионной томографии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ультразвукового исследования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компьютерной томографии ОГК и ОБП с внутривенным контрастированием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компьютерной томографии ОГК и ОБП с внутривенным контрастированием</w:t>
      </w:r>
    </w:p>
    <w:p>
      <w:pPr>
        <w:ind w:left="504"/>
      </w:pPr>
      <w:r>
        <w:rPr>
          <w:b w:val="0"/>
          <w:i/>
        </w:rPr>
        <w:t>Рекомендуется всем пациентам с подозрением на мезотелиому плевры/брюшины или других локализаций выполнить компьютерную томографию (КТ) органов грудной полости и брюшной полости с внутривенным болюсным контрастированием с целью определения распространенности опухолевого процесса, дифференциального диагноза, а также в процессе лечения для оценки эффективности проводимой терапии.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Мезотелиома плевры, брюшины и других локализаций, 2025 г.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Для определения распространения болезни в грудной клетке показано выполнение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магнитно-резонансной томографии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радионуклидного исследования с галлием67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ультрасонографии средостения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линейной (послойной) томографии средостения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магнитно-резонансной томографии</w:t>
      </w:r>
    </w:p>
    <w:p>
      <w:pPr>
        <w:ind w:left="504"/>
      </w:pPr>
      <w:r>
        <w:rPr>
          <w:b w:val="0"/>
          <w:i/>
        </w:rPr>
        <w:t>Магнитно-резонансная томография с контрастированием  является методом уточняющей диагностики при оценке местного распространения опухоли. КТ органов грудной полости с в/в болюсным контрастированием и МРТ органов грудной клетки с в/в контрастированием играют важную роль в оценке распространенности опухоли по диафрагме, средостению, верхней части грудной клетки. При неинвазивной стадии очень трудно провести различия между Т1 и Т2.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Мезотелиома плевры, брюшины и других локализаций, 2025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Исследование экссудата плевры не уточнило природу заболевания, поэтому для верификации диагноза показана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диагностическая торакоскопия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повторная пункция плевральной полости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пункционная биопсия плевры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трепан-биопсия плевры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диагностическая торакоскопия</w:t>
      </w:r>
    </w:p>
    <w:p>
      <w:pPr>
        <w:ind w:left="504"/>
      </w:pPr>
      <w:r>
        <w:rPr>
          <w:b w:val="0"/>
          <w:i/>
        </w:rPr>
        <w:t>Диагностическая торакоскопия является наиболее важным методом диагностики, позволяющим получить необходимое количество материала для последующего патолого-анатомического исследования биопсийного (операционного) материала с применением иммуногистохимических методов и визуально оценить характер изменений по плевре.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Мезотелиома плевры, брюшины и других локализаций, 2025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Для окончательной верификации диагноза необходимо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определение нейронспецифической энолазы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исследование крови на антигены вируса SV 40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определение раково-эмбрионального антигена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иммуногистохимическое исследование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иммуногистохимическое исследование</w:t>
      </w:r>
    </w:p>
    <w:p>
      <w:pPr>
        <w:ind w:left="504"/>
      </w:pPr>
      <w:r>
        <w:rPr>
          <w:b w:val="0"/>
          <w:i/>
        </w:rPr>
        <w:t>Рекомендуется при выявлении поражения плевры выполнить торакоскопию с биопсией или при поражении брюшины – диагностическую лапароскопию с биопсией с обязательным патолого-анатомическим исследованием биопсийного (операционного) материала с применением иммуногистохимических методов (ИГХ) для морфологического подтверждения диагноза, определения гистотипа опухоли и выработки адекватной стратегии лечения.</w:t>
        <w:br/>
        <w:br/>
        <w:t>Для мезотелиомы характерно наличие ряда маркеров. Позитивные маркеры: кальретинин, антиген WT-1, виментин, мезотелин, D2-40, негативные маркеры:TTF-1, клаудин-4, РЭА.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Мезотелиома плевры, брюшины и других локализаций, 2025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МРТ грудной клетки выявила увеличение бронхо-пульмональных лимфатических узлов в области нижней и средней доли (все визуализируемые лимфатические узлы диаметром от 1.2 до 1.4 см). У пациента диагностирована Мезотелиома плевры T3N1M0, что соответствует +_____+ стадии заболевания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IIIA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IB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IIIB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IIIA</w:t>
      </w:r>
    </w:p>
    <w:p>
      <w:pPr>
        <w:ind w:left="504"/>
      </w:pPr>
      <w:r>
        <w:rPr>
          <w:b w:val="0"/>
          <w:i/>
        </w:rPr>
        <w:t>Для определения стадии заболевания используется классификация, предложенная Международной группой по изучению мезотелиомы (IMIG) (AJCC, 8-е изд. – 2017 г.). Стадирование по TNM применимо только к мезотелиоме плевры. Несмотря на то, что выпот в плевральной полости при МП встречается у 40–70% пациентов, при стадировании наличие плеврита не учитывается.</w:t>
        <w:br/>
        <w:br/>
        <w:t>Т3 – опухоль локально распространенная, но потенциально резектабельная, прорастает любую поверхность париетальной плевры на стороне поражения. Присутствует одна из следующих характеристик:</w:t>
        <w:br/>
        <w:br/>
        <w:t>* инвазия во внутригрудную фасцию;</w:t>
        <w:br/>
        <w:t>* инвазия в жировую ткань средостения;</w:t>
        <w:br/>
        <w:t>* единичный опухолевый узел, прорастающий в мягкие ткани грудной клетки;</w:t>
        <w:br/>
        <w:t>* поражение перикарда, но без прорастания на всю толщу.</w:t>
        <w:br/>
        <w:br/>
        <w:t>N1 – метастазы в бронхопульмональных лимфатических узлах (узле) и/или лимфатических узлах (узле) корня легкого на стороне поражения, медиастинальных лимфатических узлах, включая парастернальные, околодиафрагмальные, перикардиальной клетчатки и интеркостальные на стороне поражения;</w:t>
        <w:br/>
        <w:br/>
        <w:t>T3N1M0 соответствует IIIA стадии.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Мезотелиома плевры, брюшины и других локализаций, 2025 г.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Одним из важных критериев отбора на операцию, является удовлетворительный функциональный статус, соответствующий +_____+ баллам по шкале ECOG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2-3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3-4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1-2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0-1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0-1</w:t>
      </w:r>
    </w:p>
    <w:p>
      <w:pPr>
        <w:ind w:left="504"/>
      </w:pPr>
      <w:r>
        <w:rPr>
          <w:b w:val="0"/>
          <w:i/>
        </w:rPr>
        <w:t>Пациентам с мезотелиомой плевры и удовлетворительным функциональным статусом рекомендуется плеврэктомия при любой стадии болезни для купирования постоянного накопления жидкости в плевральной полости, как этап при мультимодальном лечении для достижения максимального лечебного противоопухолевого эффекта и улучшения качества жизни.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Мезотелиома плевры, брюшины и других локализаций, 2025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Основным объёмом хирургического вмешательства по поводу мезотелиомы плевры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париетальная плеврэктомия с декортикацией легкого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пневмонэктомия с париетальной плеврэктомией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расширенная лобэктомия с резекцией париетальной плевры и ребер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экстраплевральная пневмонэктомия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экстраплевральная пневмонэктомия</w:t>
      </w:r>
    </w:p>
    <w:p>
      <w:pPr>
        <w:ind w:left="504"/>
      </w:pPr>
      <w:r>
        <w:rPr>
          <w:b w:val="0"/>
          <w:i/>
        </w:rPr>
        <w:t>Рекомендуется пациентам с ранними стадиями эпителиоидной мезотелиомы плевры I-IIIA (без N2) проведение экстраплевральной пневмонэктомии (далее – ЭПП) с резекцией перикарда и диафрагмы или без нее, которая считается более оптимальной с онкологической точки зрения, хотя и сопряжена с большим числом осложнений и послеоперационной смертности – до 7%.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Мезотелиома плевры, брюшины и других локализаций, 2025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Лучевая терапия в лечении мезотелиомы плевры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рекомендуется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рекомендуется после операции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рекомендуется как самостоятельный метод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рекомендуется в предоперационном периоде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рекомендуется после операции</w:t>
      </w:r>
    </w:p>
    <w:p>
      <w:pPr>
        <w:ind w:left="504"/>
      </w:pPr>
      <w:r>
        <w:rPr>
          <w:b w:val="0"/>
          <w:i/>
        </w:rPr>
        <w:t>Послеоперационная ДЛТ возможна у пациентов с ECOG 0–1, с адекватно сохраненной легочной функцией, при которой пациент не нуждается в кислородотерапии, без признаков почечной недостаточности, при отсутствии отдаленных метастазов.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Мезотелиома плевры, брюшины и других локализаций, 2025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Лучевая терапия после пульмонэктомии (при отсутствии опухолевых клеток в краях резекции) проводится в суммарной дозе _____ Гр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27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60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50</w:t>
      </w:r>
    </w:p>
    <w:p>
      <w:pPr>
        <w:ind w:left="504"/>
      </w:pPr>
      <w:r>
        <w:rPr>
          <w:b w:val="0"/>
          <w:i/>
        </w:rPr>
        <w:t>После пульмонэктомии (при отсутствии опухолевых клеток в краях резекции) ЛТ проводится: СОД 45–54 Гр, РОД 1,8–2 Гр, в течение 5–6 недель.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Мезотелиома плевры, брюшины и других локализаций, 2025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Лучевая терапия с паллиативной (обезболивающей) целью проводится в суммарной дозе +______+ Грэй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20-40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44-50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50-70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42-44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20-40</w:t>
      </w:r>
    </w:p>
    <w:p>
      <w:pPr>
        <w:ind w:left="504"/>
      </w:pPr>
      <w:r>
        <w:rPr>
          <w:b w:val="0"/>
          <w:i/>
        </w:rPr>
        <w:t>С обезболивающей целью на грудную клетку СОД 20–40 Гр, РОД 3–4 Гр, в течение 1–2 недель.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Мезотелиома плевры, брюшины и других локализаций, 2025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Химиотерапевтическое лечение при мезотелиоме плевры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используется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показано неоперабельным больным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показано в предоперационном периоде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показано после радикальной операции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показано неоперабельным больным</w:t>
      </w:r>
    </w:p>
    <w:p>
      <w:pPr>
        <w:ind w:left="504"/>
      </w:pPr>
      <w:r>
        <w:rPr>
          <w:b w:val="0"/>
          <w:i/>
        </w:rPr>
        <w:t>При невозможности выполнения оперативного вмешательства при ранней стадии, смешанном или саркоматоидном подтипе и при распространенном опухолевом процессе (IIIB–IV стадии для мезотелиомы плевры) применяется лекарственное лечение.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Мезотелиома плевры, брюшины и других локализаций, 2025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Оптимальная схема первой линии химиотерапии мезотелиомы плевры включает цисплатин (карбоплатин) 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пеметрексед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винкристин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циклофосфамид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этопозид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пеметрексед</w:t>
      </w:r>
    </w:p>
    <w:p>
      <w:pPr>
        <w:ind w:left="504"/>
      </w:pPr>
      <w:r>
        <w:rPr>
          <w:b w:val="0"/>
          <w:i/>
        </w:rPr>
        <w:t>Оптимальный режим лекарственного лечения 1-й линии: пеметрексед + цисплатин (или карбоплатин).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Мезотелиома плевры, брюшины и других локализаций, 2025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(2)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Онкология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497_2/" TargetMode="External"/><Relationship Id="rId21" Type="http://schemas.openxmlformats.org/officeDocument/2006/relationships/hyperlink" Target="https://library.mededtech.ru/rest/documents/KP497_2/#list_item_l7npg8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KP497_2/#paragraph_7ke8ov" TargetMode="External"/><Relationship Id="rId24" Type="http://schemas.openxmlformats.org/officeDocument/2006/relationships/hyperlink" Target="https://library.mededtech.ru/rest/documents/KP497_2/#paragraph_n4b5hl" TargetMode="External"/><Relationship Id="rId25" Type="http://schemas.openxmlformats.org/officeDocument/2006/relationships/hyperlink" Target="https://library.mededtech.ru/rest/documents/KP497_2/#list_item_0943kt" TargetMode="External"/><Relationship Id="rId26" Type="http://schemas.openxmlformats.org/officeDocument/2006/relationships/hyperlink" Target="https://library.mededtech.ru/rest/documents/KP497_2/#paragraph_4k6021" TargetMode="External"/><Relationship Id="rId27" Type="http://schemas.openxmlformats.org/officeDocument/2006/relationships/hyperlink" Target="https://library.mededtech.ru/rest/documents/KP497_2/#list_item_ep56em" TargetMode="External"/><Relationship Id="rId28" Type="http://schemas.openxmlformats.org/officeDocument/2006/relationships/hyperlink" Target="https://library.mededtech.ru/rest/documents/KP497_2/#list_item_j3gj2u" TargetMode="External"/><Relationship Id="rId29" Type="http://schemas.openxmlformats.org/officeDocument/2006/relationships/image" Target="media/image6.png"/><Relationship Id="rId30" Type="http://schemas.openxmlformats.org/officeDocument/2006/relationships/hyperlink" Target="https://library.mededtech.ru/rest/documents/KP497_2/#paragraph_33idpq" TargetMode="External"/><Relationship Id="rId31" Type="http://schemas.openxmlformats.org/officeDocument/2006/relationships/hyperlink" Target="https://library.mededtech.ru/rest/documents/KP497_2/#tab2" TargetMode="External"/><Relationship Id="rId32" Type="http://schemas.openxmlformats.org/officeDocument/2006/relationships/hyperlink" Target="https://library.mededtech.ru/rest/documents/KP497_2/#paragraph_u1ma1f" TargetMode="External"/><Relationship Id="rId33" Type="http://schemas.openxmlformats.org/officeDocument/2006/relationships/hyperlink" Target="https://library.mededtech.ru/rest/documents/KP497_2/#list_item_l924o3" TargetMode="External"/><Relationship Id="rId34" Type="http://schemas.openxmlformats.org/officeDocument/2006/relationships/hyperlink" Target="https://library.mededtech.ru/rest/documents/KP497_2/#tab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